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before="800" w:line="380"/>
        <w:jc w:val="center"/>
      </w:pPr>
      <w:r>
        <w:rPr>
          <w:rFonts w:ascii="맑은 고딕" w:cs="맑은 고딕" w:eastAsia="맑은 고딕" w:hAnsi="맑은 고딕"/>
          <w:b/>
          <w:bCs/>
          <w:color w:val="0072BC"/>
          <w:sz w:val="36"/>
          <w:szCs w:val="36"/>
        </w:rPr>
        <w:t xml:space="preserve">임원퇴직금지급규정</w:t>
      </w:r>
    </w:p>
    <w:p>
      <w:pPr>
        <w:spacing w:after="600" w:before="0" w:line="320"/>
        <w:jc w:val="center"/>
      </w:pPr>
      <w:r>
        <w:rPr>
          <w:rFonts w:ascii="맑은 고딕" w:cs="맑은 고딕" w:eastAsia="맑은 고딕" w:hAnsi="맑은 고딕"/>
          <w:b w:val="false"/>
          <w:bCs w:val="false"/>
          <w:color w:val="333333"/>
          <w:sz w:val="28"/>
          <w:szCs w:val="28"/>
        </w:rPr>
        <w:t xml:space="preserve">주식회사  ____________________</w:t>
      </w:r>
    </w:p>
    <w:p>
      <w:pPr>
        <w:pBdr>
          <w:bottom w:val="single" w:color="AAAAAA" w:sz="6" w:space="1"/>
        </w:pBdr>
        <w:spacing w:after="80" w:before="80"/>
      </w:pPr>
    </w:p>
    <w:p>
      <w:pPr>
        <w:spacing w:after="160" w:before="320" w:line="320"/>
        <w:jc w:val="left"/>
      </w:pPr>
      <w:r>
        <w:rPr>
          <w:rFonts w:ascii="맑은 고딕" w:cs="맑은 고딕" w:eastAsia="맑은 고딕" w:hAnsi="맑은 고딕"/>
          <w:b/>
          <w:bCs/>
          <w:color w:val="0072BC"/>
          <w:sz w:val="28"/>
          <w:szCs w:val="28"/>
        </w:rPr>
        <w:t xml:space="preserve">제 1 장   총     칙</w:t>
      </w:r>
    </w:p>
    <w:p>
      <w:pPr>
        <w:spacing w:after="100" w:before="200" w:line="320"/>
        <w:jc w:val="left"/>
      </w:pPr>
      <w:r>
        <w:rPr>
          <w:rFonts w:ascii="맑은 고딕" w:cs="맑은 고딕" w:eastAsia="맑은 고딕" w:hAnsi="맑은 고딕"/>
          <w:b/>
          <w:bCs/>
          <w:color w:val="333333"/>
          <w:sz w:val="24"/>
          <w:szCs w:val="24"/>
        </w:rPr>
        <w:t xml:space="preserve">제1조 (목적)</w:t>
      </w:r>
    </w:p>
    <w:p>
      <w:pPr>
        <w:spacing w:after="50" w:before="50" w:line="360"/>
        <w:jc w:val="left"/>
      </w:pPr>
      <w:r>
        <w:rPr>
          <w:rFonts w:ascii="맑은 고딕" w:cs="맑은 고딕" w:eastAsia="맑은 고딕" w:hAnsi="맑은 고딕"/>
          <w:b w:val="false"/>
          <w:bCs w:val="false"/>
          <w:color w:val="000000"/>
          <w:sz w:val="22"/>
          <w:szCs w:val="22"/>
        </w:rPr>
        <w:t xml:space="preserve">본 규정은 회사 정관 제25조 제2항에 의거하여 등기임원의 퇴직금 지급에 관한 사항을 정함을 목적으로 하며, 본 규정에 정함이 없는 사항은 이사회의 결의에 의한다.</w:t>
      </w:r>
    </w:p>
    <w:p>
      <w:pPr>
        <w:spacing w:after="100" w:before="200" w:line="320"/>
        <w:jc w:val="left"/>
      </w:pPr>
      <w:r>
        <w:rPr>
          <w:rFonts w:ascii="맑은 고딕" w:cs="맑은 고딕" w:eastAsia="맑은 고딕" w:hAnsi="맑은 고딕"/>
          <w:b/>
          <w:bCs/>
          <w:color w:val="333333"/>
          <w:sz w:val="24"/>
          <w:szCs w:val="24"/>
        </w:rPr>
        <w:t xml:space="preserve">제2조 (임원의 정의)</w:t>
      </w:r>
    </w:p>
    <w:p>
      <w:pPr>
        <w:spacing w:after="50" w:before="50" w:line="360"/>
        <w:jc w:val="left"/>
      </w:pPr>
      <w:r>
        <w:rPr>
          <w:rFonts w:ascii="맑은 고딕" w:cs="맑은 고딕" w:eastAsia="맑은 고딕" w:hAnsi="맑은 고딕"/>
          <w:b/>
          <w:bCs/>
          <w:color w:val="000000"/>
          <w:sz w:val="22"/>
          <w:szCs w:val="22"/>
        </w:rPr>
        <w:t xml:space="preserve">① </w:t>
      </w:r>
      <w:r>
        <w:rPr>
          <w:rFonts w:ascii="맑은 고딕" w:cs="맑은 고딕" w:eastAsia="맑은 고딕" w:hAnsi="맑은 고딕"/>
          <w:b w:val="false"/>
          <w:bCs w:val="false"/>
          <w:color w:val="000000"/>
          <w:sz w:val="22"/>
          <w:szCs w:val="22"/>
        </w:rPr>
        <w:t xml:space="preserve">본 규정에서 "임원"이라 함은 법인등기부등본에 등재된 등기임원과 감사를 말한다.</w:t>
      </w:r>
    </w:p>
    <w:p>
      <w:pPr>
        <w:spacing w:after="50" w:before="50" w:line="360"/>
        <w:jc w:val="left"/>
      </w:pPr>
      <w:r>
        <w:rPr>
          <w:rFonts w:ascii="맑은 고딕" w:cs="맑은 고딕" w:eastAsia="맑은 고딕" w:hAnsi="맑은 고딕"/>
          <w:b/>
          <w:bCs/>
          <w:color w:val="000000"/>
          <w:sz w:val="22"/>
          <w:szCs w:val="22"/>
        </w:rPr>
        <w:t xml:space="preserve">② </w:t>
      </w:r>
      <w:r>
        <w:rPr>
          <w:rFonts w:ascii="맑은 고딕" w:cs="맑은 고딕" w:eastAsia="맑은 고딕" w:hAnsi="맑은 고딕"/>
          <w:b w:val="false"/>
          <w:bCs w:val="false"/>
          <w:color w:val="000000"/>
          <w:sz w:val="22"/>
          <w:szCs w:val="22"/>
        </w:rPr>
        <w:t xml:space="preserve">임원에 준하는 대우를 받더라도 실질관계가 근로자로서 별도의 고용계약에 의해 근무하는 자는 그 별도의 계약에 의하며 본 규정의 적용을 받지 아니한다.</w:t>
      </w:r>
    </w:p>
    <w:p>
      <w:pPr>
        <w:spacing w:after="50" w:before="50" w:line="360"/>
        <w:jc w:val="left"/>
      </w:pPr>
      <w:r>
        <w:rPr>
          <w:rFonts w:ascii="맑은 고딕" w:cs="맑은 고딕" w:eastAsia="맑은 고딕" w:hAnsi="맑은 고딕"/>
          <w:b/>
          <w:bCs/>
          <w:color w:val="000000"/>
          <w:sz w:val="22"/>
          <w:szCs w:val="22"/>
        </w:rPr>
        <w:t xml:space="preserve">③ </w:t>
      </w:r>
      <w:r>
        <w:rPr>
          <w:rFonts w:ascii="맑은 고딕" w:cs="맑은 고딕" w:eastAsia="맑은 고딕" w:hAnsi="맑은 고딕"/>
          <w:b w:val="false"/>
          <w:bCs w:val="false"/>
          <w:color w:val="000000"/>
          <w:sz w:val="22"/>
          <w:szCs w:val="22"/>
        </w:rPr>
        <w:t xml:space="preserve">미등기 실무임원에 해당하는 자는 이 규정의 적용대상이 아니다.</w:t>
      </w:r>
    </w:p>
    <w:p>
      <w:pPr>
        <w:spacing w:after="50" w:before="50" w:line="360"/>
        <w:jc w:val="left"/>
      </w:pPr>
      <w:r>
        <w:rPr>
          <w:rFonts w:ascii="맑은 고딕" w:cs="맑은 고딕" w:eastAsia="맑은 고딕" w:hAnsi="맑은 고딕"/>
          <w:b/>
          <w:bCs/>
          <w:color w:val="000000"/>
          <w:sz w:val="22"/>
          <w:szCs w:val="22"/>
        </w:rPr>
        <w:t xml:space="preserve">④ </w:t>
      </w:r>
      <w:r>
        <w:rPr>
          <w:rFonts w:ascii="맑은 고딕" w:cs="맑은 고딕" w:eastAsia="맑은 고딕" w:hAnsi="맑은 고딕"/>
          <w:b w:val="false"/>
          <w:bCs w:val="false"/>
          <w:color w:val="000000"/>
          <w:sz w:val="22"/>
          <w:szCs w:val="22"/>
        </w:rPr>
        <w:t xml:space="preserve">제1항에 의한 임원이라도 퇴직금이 없는 조건의 별도 연봉계약을 한 임원의 경우에는 이 규정의 적용대상이 되는 임원이 아니다.</w:t>
      </w:r>
    </w:p>
    <w:p>
      <w:pPr>
        <w:spacing w:after="100" w:before="200" w:line="320"/>
        <w:jc w:val="left"/>
      </w:pPr>
      <w:r>
        <w:rPr>
          <w:rFonts w:ascii="맑은 고딕" w:cs="맑은 고딕" w:eastAsia="맑은 고딕" w:hAnsi="맑은 고딕"/>
          <w:b/>
          <w:bCs/>
          <w:color w:val="333333"/>
          <w:sz w:val="24"/>
          <w:szCs w:val="24"/>
        </w:rPr>
        <w:t xml:space="preserve">제3조 (적용범위)</w:t>
      </w:r>
    </w:p>
    <w:p>
      <w:pPr>
        <w:spacing w:after="50" w:before="50" w:line="360"/>
        <w:jc w:val="left"/>
      </w:pPr>
      <w:r>
        <w:rPr>
          <w:rFonts w:ascii="맑은 고딕" w:cs="맑은 고딕" w:eastAsia="맑은 고딕" w:hAnsi="맑은 고딕"/>
          <w:b w:val="false"/>
          <w:bCs w:val="false"/>
          <w:color w:val="000000"/>
          <w:sz w:val="22"/>
          <w:szCs w:val="22"/>
        </w:rPr>
        <w:t xml:space="preserve">임원의 퇴직금은 경영계약에 따로 정하는 것을 제외하고는 이 규정이 정하는 바에 의한다.</w:t>
      </w:r>
    </w:p>
    <w:p>
      <w:pPr>
        <w:spacing w:after="160" w:before="320" w:line="320"/>
        <w:jc w:val="left"/>
      </w:pPr>
      <w:r>
        <w:rPr>
          <w:rFonts w:ascii="맑은 고딕" w:cs="맑은 고딕" w:eastAsia="맑은 고딕" w:hAnsi="맑은 고딕"/>
          <w:b/>
          <w:bCs/>
          <w:color w:val="0072BC"/>
          <w:sz w:val="28"/>
          <w:szCs w:val="28"/>
        </w:rPr>
        <w:t xml:space="preserve">제 2 장   퇴 직 금</w:t>
      </w:r>
    </w:p>
    <w:p>
      <w:pPr>
        <w:spacing w:after="100" w:before="200" w:line="320"/>
        <w:jc w:val="left"/>
      </w:pPr>
      <w:r>
        <w:rPr>
          <w:rFonts w:ascii="맑은 고딕" w:cs="맑은 고딕" w:eastAsia="맑은 고딕" w:hAnsi="맑은 고딕"/>
          <w:b/>
          <w:bCs/>
          <w:color w:val="333333"/>
          <w:sz w:val="24"/>
          <w:szCs w:val="24"/>
        </w:rPr>
        <w:t xml:space="preserve">제4조 (지급조건)</w:t>
      </w:r>
    </w:p>
    <w:p>
      <w:pPr>
        <w:spacing w:after="50" w:before="50" w:line="360"/>
        <w:jc w:val="left"/>
      </w:pPr>
      <w:r>
        <w:rPr>
          <w:rFonts w:ascii="맑은 고딕" w:cs="맑은 고딕" w:eastAsia="맑은 고딕" w:hAnsi="맑은 고딕"/>
          <w:b w:val="false"/>
          <w:bCs w:val="false"/>
          <w:color w:val="000000"/>
          <w:sz w:val="22"/>
          <w:szCs w:val="22"/>
        </w:rPr>
        <w:t xml:space="preserve">이 규정의 퇴직금은 근속기간 만 1년 이상 임원이 퇴직할 경우에 지급한다. 이때 퇴직의 범위는 퇴직하는 시점에 적용되는 법인세법 및 소득세법 등에서 나오는 현실적 퇴직(중간정산 관련 규정 포함)을 포함하는 것으로 한다.</w:t>
      </w:r>
    </w:p>
    <w:p>
      <w:pPr>
        <w:spacing w:after="100" w:before="200" w:line="320"/>
        <w:jc w:val="left"/>
      </w:pPr>
      <w:r>
        <w:rPr>
          <w:rFonts w:ascii="맑은 고딕" w:cs="맑은 고딕" w:eastAsia="맑은 고딕" w:hAnsi="맑은 고딕"/>
          <w:b/>
          <w:bCs/>
          <w:color w:val="333333"/>
          <w:sz w:val="24"/>
          <w:szCs w:val="24"/>
        </w:rPr>
        <w:t xml:space="preserve">제5조 (퇴직금의 산정)</w:t>
      </w:r>
    </w:p>
    <w:p>
      <w:pPr>
        <w:spacing w:after="50" w:before="50" w:line="360"/>
        <w:jc w:val="left"/>
      </w:pPr>
      <w:r>
        <w:rPr>
          <w:rFonts w:ascii="맑은 고딕" w:cs="맑은 고딕" w:eastAsia="맑은 고딕" w:hAnsi="맑은 고딕"/>
          <w:b/>
          <w:bCs/>
          <w:color w:val="000000"/>
          <w:sz w:val="22"/>
          <w:szCs w:val="22"/>
        </w:rPr>
        <w:t xml:space="preserve">① </w:t>
      </w:r>
      <w:r>
        <w:rPr>
          <w:rFonts w:ascii="맑은 고딕" w:cs="맑은 고딕" w:eastAsia="맑은 고딕" w:hAnsi="맑은 고딕"/>
          <w:b w:val="false"/>
          <w:bCs w:val="false"/>
          <w:color w:val="000000"/>
          <w:sz w:val="22"/>
          <w:szCs w:val="22"/>
        </w:rPr>
        <w:t xml:space="preserve">임원 퇴직금의 산정은 퇴직 당시의 퇴직금 산출 기준액에 근속기간과 기준지급률을 곱한 금액으로 한다.</w:t>
      </w:r>
    </w:p>
    <w:p>
      <w:pPr>
        <w:spacing w:after="50" w:before="50" w:line="360"/>
        <w:jc w:val="left"/>
      </w:pPr>
      <w:r>
        <w:rPr>
          <w:rFonts w:ascii="맑은 고딕" w:cs="맑은 고딕" w:eastAsia="맑은 고딕" w:hAnsi="맑은 고딕"/>
          <w:b/>
          <w:bCs/>
          <w:color w:val="000000"/>
          <w:sz w:val="22"/>
          <w:szCs w:val="22"/>
        </w:rPr>
        <w:t xml:space="preserve">② </w:t>
      </w:r>
      <w:r>
        <w:rPr>
          <w:rFonts w:ascii="맑은 고딕" w:cs="맑은 고딕" w:eastAsia="맑은 고딕" w:hAnsi="맑은 고딕"/>
          <w:b w:val="false"/>
          <w:bCs w:val="false"/>
          <w:color w:val="000000"/>
          <w:sz w:val="22"/>
          <w:szCs w:val="22"/>
        </w:rPr>
        <w:t xml:space="preserve">퇴직금 산출 기준액은 퇴직한 날로부터 소급하여 3년(근무기간이 3년 미만인 경우에는 해당 근무기간으로 한다) 동안 지급받은 총급여의 연평균환산액의 10분의 1을 곱한 금액으로 한다.</w:t>
      </w:r>
    </w:p>
    <w:p>
      <w:pPr>
        <w:spacing w:after="50" w:before="50" w:line="360"/>
        <w:jc w:val="left"/>
      </w:pPr>
      <w:r>
        <w:rPr>
          <w:rFonts w:ascii="맑은 고딕" w:cs="맑은 고딕" w:eastAsia="맑은 고딕" w:hAnsi="맑은 고딕"/>
          <w:b/>
          <w:bCs/>
          <w:color w:val="000000"/>
          <w:sz w:val="22"/>
          <w:szCs w:val="22"/>
        </w:rPr>
        <w:t xml:space="preserve">③ </w:t>
      </w:r>
      <w:r>
        <w:rPr>
          <w:rFonts w:ascii="맑은 고딕" w:cs="맑은 고딕" w:eastAsia="맑은 고딕" w:hAnsi="맑은 고딕"/>
          <w:b w:val="false"/>
          <w:bCs w:val="false"/>
          <w:color w:val="000000"/>
          <w:sz w:val="22"/>
          <w:szCs w:val="22"/>
        </w:rPr>
        <w:t xml:space="preserve">기준지급률은 다음과 같다. 다만 회사의 긴박한 경영상의 이유가 발생할 경우 본조의 규정에도 불구하고 주주총회 또는 이사회의 결의로 임원의 직급별 한도 내에서 퇴직금을 조정하여 지급할 수 있다.</w:t>
      </w:r>
    </w:p>
    <w:tbl>
      <w:tblPr>
        <w:tblW w:type="dxa" w:w="9022"/>
        <w:tblBorders>
          <w:top w:val="single" w:color="BBBBBB" w:sz="6"/>
          <w:left w:val="single" w:color="BBBBBB" w:sz="6"/>
          <w:bottom w:val="single" w:color="BBBBBB" w:sz="6"/>
          <w:right w:val="single" w:color="BBBBBB" w:sz="6"/>
          <w:insideH w:val="single" w:color="DDDDDD" w:sz="4"/>
          <w:insideV w:val="single" w:color="DDDDDD" w:sz="4"/>
        </w:tblBorders>
      </w:tblPr>
      <w:tblGrid>
        <w:gridCol w:w="2400"/>
        <w:gridCol w:w="2200"/>
        <w:gridCol w:w="2200"/>
        <w:gridCol w:w="2222"/>
      </w:tblGrid>
      <w:tr>
        <w:trPr>
          <w:tblHeader/>
        </w:trPr>
        <w:tc>
          <w:tcPr>
            <w:tcW w:type="dxa" w:w="2400"/>
            <w:shd w:fill="F5F5F5"/>
            <w:tcMar>
              <w:top w:type="dxa" w:w="80"/>
              <w:left w:type="dxa" w:w="100"/>
              <w:bottom w:type="dxa" w:w="80"/>
              <w:right w:type="dxa" w:w="100"/>
            </w:tcMar>
          </w:tcPr>
          <w:p>
            <w:pPr>
              <w:spacing w:after="40" w:before="40" w:line="280"/>
              <w:jc w:val="center"/>
            </w:pPr>
            <w:r>
              <w:rPr>
                <w:rFonts w:ascii="맑은 고딕" w:cs="맑은 고딕" w:eastAsia="맑은 고딕" w:hAnsi="맑은 고딕"/>
                <w:b/>
                <w:bCs/>
                <w:color w:val="000000"/>
                <w:sz w:val="22"/>
                <w:szCs w:val="22"/>
              </w:rPr>
              <w:t xml:space="preserve">직급 / 근속</w:t>
            </w:r>
          </w:p>
        </w:tc>
        <w:tc>
          <w:tcPr>
            <w:tcW w:type="dxa" w:w="2200"/>
            <w:shd w:fill="F5F5F5"/>
            <w:tcMar>
              <w:top w:type="dxa" w:w="80"/>
              <w:left w:type="dxa" w:w="100"/>
              <w:bottom w:type="dxa" w:w="80"/>
              <w:right w:type="dxa" w:w="100"/>
            </w:tcMar>
          </w:tcPr>
          <w:p>
            <w:pPr>
              <w:spacing w:after="40" w:before="40" w:line="280"/>
              <w:jc w:val="center"/>
            </w:pPr>
            <w:r>
              <w:rPr>
                <w:rFonts w:ascii="맑은 고딕" w:cs="맑은 고딕" w:eastAsia="맑은 고딕" w:hAnsi="맑은 고딕"/>
                <w:b/>
                <w:bCs/>
                <w:color w:val="000000"/>
                <w:sz w:val="22"/>
                <w:szCs w:val="22"/>
              </w:rPr>
              <w:t xml:space="preserve">3년 미만</w:t>
            </w:r>
          </w:p>
        </w:tc>
        <w:tc>
          <w:tcPr>
            <w:tcW w:type="dxa" w:w="2200"/>
            <w:shd w:fill="F5F5F5"/>
            <w:tcMar>
              <w:top w:type="dxa" w:w="80"/>
              <w:left w:type="dxa" w:w="100"/>
              <w:bottom w:type="dxa" w:w="80"/>
              <w:right w:type="dxa" w:w="100"/>
            </w:tcMar>
          </w:tcPr>
          <w:p>
            <w:pPr>
              <w:spacing w:after="40" w:before="40" w:line="280"/>
              <w:jc w:val="center"/>
            </w:pPr>
            <w:r>
              <w:rPr>
                <w:rFonts w:ascii="맑은 고딕" w:cs="맑은 고딕" w:eastAsia="맑은 고딕" w:hAnsi="맑은 고딕"/>
                <w:b/>
                <w:bCs/>
                <w:color w:val="000000"/>
                <w:sz w:val="22"/>
                <w:szCs w:val="22"/>
              </w:rPr>
              <w:t xml:space="preserve">3년 ~ 5년 미만</w:t>
            </w:r>
          </w:p>
        </w:tc>
        <w:tc>
          <w:tcPr>
            <w:tcW w:type="dxa" w:w="2222"/>
            <w:shd w:fill="F5F5F5"/>
            <w:tcMar>
              <w:top w:type="dxa" w:w="80"/>
              <w:left w:type="dxa" w:w="100"/>
              <w:bottom w:type="dxa" w:w="80"/>
              <w:right w:type="dxa" w:w="100"/>
            </w:tcMar>
          </w:tcPr>
          <w:p>
            <w:pPr>
              <w:spacing w:after="40" w:before="40" w:line="280"/>
              <w:jc w:val="center"/>
            </w:pPr>
            <w:r>
              <w:rPr>
                <w:rFonts w:ascii="맑은 고딕" w:cs="맑은 고딕" w:eastAsia="맑은 고딕" w:hAnsi="맑은 고딕"/>
                <w:b/>
                <w:bCs/>
                <w:color w:val="000000"/>
                <w:sz w:val="22"/>
                <w:szCs w:val="22"/>
              </w:rPr>
              <w:t xml:space="preserve">5년 이상</w:t>
            </w:r>
          </w:p>
        </w:tc>
      </w:tr>
      <w:tr>
        <w:tc>
          <w:tcPr>
            <w:tcW w:type="dxa" w:w="2400"/>
            <w:tcMar>
              <w:top w:type="dxa" w:w="80"/>
              <w:left w:type="dxa" w:w="100"/>
              <w:bottom w:type="dxa" w:w="80"/>
              <w:right w:type="dxa" w:w="100"/>
            </w:tcMar>
          </w:tcPr>
          <w:p>
            <w:pPr>
              <w:spacing w:after="40" w:before="40" w:line="280"/>
              <w:jc w:val="center"/>
            </w:pPr>
            <w:r>
              <w:rPr>
                <w:rFonts w:ascii="맑은 고딕" w:cs="맑은 고딕" w:eastAsia="맑은 고딕" w:hAnsi="맑은 고딕"/>
                <w:b/>
                <w:bCs/>
                <w:color w:val="000000"/>
                <w:sz w:val="22"/>
                <w:szCs w:val="22"/>
              </w:rPr>
              <w:t xml:space="preserve">대표이사</w:t>
            </w:r>
          </w:p>
        </w:tc>
        <w:tc>
          <w:tcPr>
            <w:tcW w:type="dxa" w:w="2200"/>
            <w:tcMar>
              <w:top w:type="dxa" w:w="80"/>
              <w:left w:type="dxa" w:w="100"/>
              <w:bottom w:type="dxa" w:w="80"/>
              <w:right w:type="dxa" w:w="100"/>
            </w:tcMar>
          </w:tcPr>
          <w:p>
            <w:pPr>
              <w:spacing w:after="40" w:before="40" w:line="280"/>
              <w:jc w:val="center"/>
            </w:pPr>
            <w:r>
              <w:rPr>
                <w:rFonts w:ascii="맑은 고딕" w:cs="맑은 고딕" w:eastAsia="맑은 고딕" w:hAnsi="맑은 고딕"/>
                <w:b w:val="false"/>
                <w:bCs w:val="false"/>
                <w:color w:val="000000"/>
                <w:sz w:val="22"/>
                <w:szCs w:val="22"/>
              </w:rPr>
              <w:t xml:space="preserve">2배</w:t>
            </w:r>
          </w:p>
        </w:tc>
        <w:tc>
          <w:tcPr>
            <w:tcW w:type="dxa" w:w="2200"/>
            <w:tcMar>
              <w:top w:type="dxa" w:w="80"/>
              <w:left w:type="dxa" w:w="100"/>
              <w:bottom w:type="dxa" w:w="80"/>
              <w:right w:type="dxa" w:w="100"/>
            </w:tcMar>
          </w:tcPr>
          <w:p>
            <w:pPr>
              <w:spacing w:after="40" w:before="40" w:line="280"/>
              <w:jc w:val="center"/>
            </w:pPr>
            <w:r>
              <w:rPr>
                <w:rFonts w:ascii="맑은 고딕" w:cs="맑은 고딕" w:eastAsia="맑은 고딕" w:hAnsi="맑은 고딕"/>
                <w:b w:val="false"/>
                <w:bCs w:val="false"/>
                <w:color w:val="000000"/>
                <w:sz w:val="22"/>
                <w:szCs w:val="22"/>
              </w:rPr>
              <w:t xml:space="preserve">2.5배</w:t>
            </w:r>
          </w:p>
        </w:tc>
        <w:tc>
          <w:tcPr>
            <w:tcW w:type="dxa" w:w="2222"/>
            <w:tcMar>
              <w:top w:type="dxa" w:w="80"/>
              <w:left w:type="dxa" w:w="100"/>
              <w:bottom w:type="dxa" w:w="80"/>
              <w:right w:type="dxa" w:w="100"/>
            </w:tcMar>
          </w:tcPr>
          <w:p>
            <w:pPr>
              <w:spacing w:after="40" w:before="40" w:line="280"/>
              <w:jc w:val="center"/>
            </w:pPr>
            <w:r>
              <w:rPr>
                <w:rFonts w:ascii="맑은 고딕" w:cs="맑은 고딕" w:eastAsia="맑은 고딕" w:hAnsi="맑은 고딕"/>
                <w:b w:val="false"/>
                <w:bCs w:val="false"/>
                <w:color w:val="000000"/>
                <w:sz w:val="22"/>
                <w:szCs w:val="22"/>
              </w:rPr>
              <w:t xml:space="preserve">3배</w:t>
            </w:r>
          </w:p>
        </w:tc>
      </w:tr>
      <w:tr>
        <w:tc>
          <w:tcPr>
            <w:tcW w:type="dxa" w:w="2400"/>
            <w:tcMar>
              <w:top w:type="dxa" w:w="80"/>
              <w:left w:type="dxa" w:w="100"/>
              <w:bottom w:type="dxa" w:w="80"/>
              <w:right w:type="dxa" w:w="100"/>
            </w:tcMar>
          </w:tcPr>
          <w:p>
            <w:pPr>
              <w:spacing w:after="40" w:before="40" w:line="280"/>
              <w:jc w:val="center"/>
            </w:pPr>
            <w:r>
              <w:rPr>
                <w:rFonts w:ascii="맑은 고딕" w:cs="맑은 고딕" w:eastAsia="맑은 고딕" w:hAnsi="맑은 고딕"/>
                <w:b/>
                <w:bCs/>
                <w:color w:val="000000"/>
                <w:sz w:val="22"/>
                <w:szCs w:val="22"/>
              </w:rPr>
              <w:t xml:space="preserve">이사</w:t>
            </w:r>
          </w:p>
        </w:tc>
        <w:tc>
          <w:tcPr>
            <w:tcW w:type="dxa" w:w="2200"/>
            <w:tcMar>
              <w:top w:type="dxa" w:w="80"/>
              <w:left w:type="dxa" w:w="100"/>
              <w:bottom w:type="dxa" w:w="80"/>
              <w:right w:type="dxa" w:w="100"/>
            </w:tcMar>
          </w:tcPr>
          <w:p>
            <w:pPr>
              <w:spacing w:after="40" w:before="40" w:line="280"/>
              <w:jc w:val="center"/>
            </w:pPr>
            <w:r>
              <w:rPr>
                <w:rFonts w:ascii="맑은 고딕" w:cs="맑은 고딕" w:eastAsia="맑은 고딕" w:hAnsi="맑은 고딕"/>
                <w:b w:val="false"/>
                <w:bCs w:val="false"/>
                <w:color w:val="000000"/>
                <w:sz w:val="22"/>
                <w:szCs w:val="22"/>
              </w:rPr>
              <w:t xml:space="preserve">2배</w:t>
            </w:r>
          </w:p>
        </w:tc>
        <w:tc>
          <w:tcPr>
            <w:tcW w:type="dxa" w:w="2200"/>
            <w:tcMar>
              <w:top w:type="dxa" w:w="80"/>
              <w:left w:type="dxa" w:w="100"/>
              <w:bottom w:type="dxa" w:w="80"/>
              <w:right w:type="dxa" w:w="100"/>
            </w:tcMar>
          </w:tcPr>
          <w:p>
            <w:pPr>
              <w:spacing w:after="40" w:before="40" w:line="280"/>
              <w:jc w:val="center"/>
            </w:pPr>
            <w:r>
              <w:rPr>
                <w:rFonts w:ascii="맑은 고딕" w:cs="맑은 고딕" w:eastAsia="맑은 고딕" w:hAnsi="맑은 고딕"/>
                <w:b w:val="false"/>
                <w:bCs w:val="false"/>
                <w:color w:val="000000"/>
                <w:sz w:val="22"/>
                <w:szCs w:val="22"/>
              </w:rPr>
              <w:t xml:space="preserve">2.5배</w:t>
            </w:r>
          </w:p>
        </w:tc>
        <w:tc>
          <w:tcPr>
            <w:tcW w:type="dxa" w:w="2222"/>
            <w:tcMar>
              <w:top w:type="dxa" w:w="80"/>
              <w:left w:type="dxa" w:w="100"/>
              <w:bottom w:type="dxa" w:w="80"/>
              <w:right w:type="dxa" w:w="100"/>
            </w:tcMar>
          </w:tcPr>
          <w:p>
            <w:pPr>
              <w:spacing w:after="40" w:before="40" w:line="280"/>
              <w:jc w:val="center"/>
            </w:pPr>
            <w:r>
              <w:rPr>
                <w:rFonts w:ascii="맑은 고딕" w:cs="맑은 고딕" w:eastAsia="맑은 고딕" w:hAnsi="맑은 고딕"/>
                <w:b w:val="false"/>
                <w:bCs w:val="false"/>
                <w:color w:val="000000"/>
                <w:sz w:val="22"/>
                <w:szCs w:val="22"/>
              </w:rPr>
              <w:t xml:space="preserve">3배</w:t>
            </w:r>
          </w:p>
        </w:tc>
      </w:tr>
      <w:tr>
        <w:tc>
          <w:tcPr>
            <w:tcW w:type="dxa" w:w="2400"/>
            <w:tcMar>
              <w:top w:type="dxa" w:w="80"/>
              <w:left w:type="dxa" w:w="100"/>
              <w:bottom w:type="dxa" w:w="80"/>
              <w:right w:type="dxa" w:w="100"/>
            </w:tcMar>
          </w:tcPr>
          <w:p>
            <w:pPr>
              <w:spacing w:after="40" w:before="40" w:line="280"/>
              <w:jc w:val="center"/>
            </w:pPr>
            <w:r>
              <w:rPr>
                <w:rFonts w:ascii="맑은 고딕" w:cs="맑은 고딕" w:eastAsia="맑은 고딕" w:hAnsi="맑은 고딕"/>
                <w:b/>
                <w:bCs/>
                <w:color w:val="000000"/>
                <w:sz w:val="22"/>
                <w:szCs w:val="22"/>
              </w:rPr>
              <w:t xml:space="preserve">감사</w:t>
            </w:r>
          </w:p>
        </w:tc>
        <w:tc>
          <w:tcPr>
            <w:tcW w:type="dxa" w:w="2200"/>
            <w:tcMar>
              <w:top w:type="dxa" w:w="80"/>
              <w:left w:type="dxa" w:w="100"/>
              <w:bottom w:type="dxa" w:w="80"/>
              <w:right w:type="dxa" w:w="100"/>
            </w:tcMar>
          </w:tcPr>
          <w:p>
            <w:pPr>
              <w:spacing w:after="40" w:before="40" w:line="280"/>
              <w:jc w:val="center"/>
            </w:pPr>
            <w:r>
              <w:rPr>
                <w:rFonts w:ascii="맑은 고딕" w:cs="맑은 고딕" w:eastAsia="맑은 고딕" w:hAnsi="맑은 고딕"/>
                <w:b w:val="false"/>
                <w:bCs w:val="false"/>
                <w:color w:val="000000"/>
                <w:sz w:val="22"/>
                <w:szCs w:val="22"/>
              </w:rPr>
              <w:t xml:space="preserve">1배</w:t>
            </w:r>
          </w:p>
        </w:tc>
        <w:tc>
          <w:tcPr>
            <w:tcW w:type="dxa" w:w="2200"/>
            <w:tcMar>
              <w:top w:type="dxa" w:w="80"/>
              <w:left w:type="dxa" w:w="100"/>
              <w:bottom w:type="dxa" w:w="80"/>
              <w:right w:type="dxa" w:w="100"/>
            </w:tcMar>
          </w:tcPr>
          <w:p>
            <w:pPr>
              <w:spacing w:after="40" w:before="40" w:line="280"/>
              <w:jc w:val="center"/>
            </w:pPr>
            <w:r>
              <w:rPr>
                <w:rFonts w:ascii="맑은 고딕" w:cs="맑은 고딕" w:eastAsia="맑은 고딕" w:hAnsi="맑은 고딕"/>
                <w:b w:val="false"/>
                <w:bCs w:val="false"/>
                <w:color w:val="000000"/>
                <w:sz w:val="22"/>
                <w:szCs w:val="22"/>
              </w:rPr>
              <w:t xml:space="preserve">1.5배</w:t>
            </w:r>
          </w:p>
        </w:tc>
        <w:tc>
          <w:tcPr>
            <w:tcW w:type="dxa" w:w="2222"/>
            <w:tcMar>
              <w:top w:type="dxa" w:w="80"/>
              <w:left w:type="dxa" w:w="100"/>
              <w:bottom w:type="dxa" w:w="80"/>
              <w:right w:type="dxa" w:w="100"/>
            </w:tcMar>
          </w:tcPr>
          <w:p>
            <w:pPr>
              <w:spacing w:after="40" w:before="40" w:line="280"/>
              <w:jc w:val="center"/>
            </w:pPr>
            <w:r>
              <w:rPr>
                <w:rFonts w:ascii="맑은 고딕" w:cs="맑은 고딕" w:eastAsia="맑은 고딕" w:hAnsi="맑은 고딕"/>
                <w:b w:val="false"/>
                <w:bCs w:val="false"/>
                <w:color w:val="000000"/>
                <w:sz w:val="22"/>
                <w:szCs w:val="22"/>
              </w:rPr>
              <w:t xml:space="preserve">2배</w:t>
            </w:r>
          </w:p>
        </w:tc>
      </w:tr>
    </w:tbl>
    <w:p>
      <w:pPr>
        <w:spacing w:after="120" w:before="120" w:line="320"/>
        <w:jc w:val="center"/>
      </w:pPr>
      <w:r>
        <w:rPr>
          <w:rFonts w:ascii="맑은 고딕" w:cs="맑은 고딕" w:eastAsia="맑은 고딕" w:hAnsi="맑은 고딕"/>
          <w:b/>
          <w:bCs/>
          <w:color w:val="0072BC"/>
          <w:sz w:val="22"/>
          <w:szCs w:val="22"/>
        </w:rPr>
        <w:t xml:space="preserve">퇴직금 = 퇴직금산출기준액 × (전체근무기간 / 12) × 기준지급률</w:t>
      </w:r>
    </w:p>
    <w:p>
      <w:pPr>
        <w:spacing w:after="0" w:before="0" w:line="240"/>
        <w:jc w:val="left"/>
      </w:pPr>
      <w:r>
        <w:rPr>
          <w:rFonts w:ascii="맑은 고딕" w:cs="맑은 고딕" w:eastAsia="맑은 고딕" w:hAnsi="맑은 고딕"/>
          <w:b w:val="false"/>
          <w:bCs w:val="false"/>
          <w:color w:val="000000"/>
          <w:sz w:val="22"/>
          <w:szCs w:val="22"/>
        </w:rPr>
        <w:t xml:space="preserve"/>
      </w:r>
    </w:p>
    <w:p>
      <w:pPr>
        <w:spacing w:after="100" w:before="200" w:line="320"/>
        <w:jc w:val="left"/>
      </w:pPr>
      <w:r>
        <w:rPr>
          <w:rFonts w:ascii="맑은 고딕" w:cs="맑은 고딕" w:eastAsia="맑은 고딕" w:hAnsi="맑은 고딕"/>
          <w:b/>
          <w:bCs/>
          <w:color w:val="333333"/>
          <w:sz w:val="24"/>
          <w:szCs w:val="24"/>
        </w:rPr>
        <w:t xml:space="preserve">제6조 (근속기간의 계산)</w:t>
      </w:r>
    </w:p>
    <w:p>
      <w:pPr>
        <w:spacing w:after="50" w:before="50" w:line="360"/>
        <w:jc w:val="left"/>
      </w:pPr>
      <w:r>
        <w:rPr>
          <w:rFonts w:ascii="맑은 고딕" w:cs="맑은 고딕" w:eastAsia="맑은 고딕" w:hAnsi="맑은 고딕"/>
          <w:b/>
          <w:bCs/>
          <w:color w:val="000000"/>
          <w:sz w:val="22"/>
          <w:szCs w:val="22"/>
        </w:rPr>
        <w:t xml:space="preserve">① </w:t>
      </w:r>
      <w:r>
        <w:rPr>
          <w:rFonts w:ascii="맑은 고딕" w:cs="맑은 고딕" w:eastAsia="맑은 고딕" w:hAnsi="맑은 고딕"/>
          <w:b w:val="false"/>
          <w:bCs w:val="false"/>
          <w:color w:val="000000"/>
          <w:sz w:val="22"/>
          <w:szCs w:val="22"/>
        </w:rPr>
        <w:t xml:space="preserve">근속기간은 등기임원으로 재직한 기간에 의한다.</w:t>
      </w:r>
    </w:p>
    <w:p>
      <w:pPr>
        <w:spacing w:after="50" w:before="50" w:line="360"/>
        <w:jc w:val="left"/>
      </w:pPr>
      <w:r>
        <w:rPr>
          <w:rFonts w:ascii="맑은 고딕" w:cs="맑은 고딕" w:eastAsia="맑은 고딕" w:hAnsi="맑은 고딕"/>
          <w:b/>
          <w:bCs/>
          <w:color w:val="000000"/>
          <w:sz w:val="22"/>
          <w:szCs w:val="22"/>
        </w:rPr>
        <w:t xml:space="preserve">② </w:t>
      </w:r>
      <w:r>
        <w:rPr>
          <w:rFonts w:ascii="맑은 고딕" w:cs="맑은 고딕" w:eastAsia="맑은 고딕" w:hAnsi="맑은 고딕"/>
          <w:b w:val="false"/>
          <w:bCs w:val="false"/>
          <w:color w:val="000000"/>
          <w:sz w:val="22"/>
          <w:szCs w:val="22"/>
        </w:rPr>
        <w:t xml:space="preserve">1년 이내의 휴직기간은 근무기간에 포함한다.</w:t>
      </w:r>
    </w:p>
    <w:p>
      <w:pPr>
        <w:spacing w:after="50" w:before="50" w:line="360"/>
        <w:jc w:val="left"/>
      </w:pPr>
      <w:r>
        <w:rPr>
          <w:rFonts w:ascii="맑은 고딕" w:cs="맑은 고딕" w:eastAsia="맑은 고딕" w:hAnsi="맑은 고딕"/>
          <w:b/>
          <w:bCs/>
          <w:color w:val="000000"/>
          <w:sz w:val="22"/>
          <w:szCs w:val="22"/>
        </w:rPr>
        <w:t xml:space="preserve">③ </w:t>
      </w:r>
      <w:r>
        <w:rPr>
          <w:rFonts w:ascii="맑은 고딕" w:cs="맑은 고딕" w:eastAsia="맑은 고딕" w:hAnsi="맑은 고딕"/>
          <w:b w:val="false"/>
          <w:bCs w:val="false"/>
          <w:color w:val="000000"/>
          <w:sz w:val="22"/>
          <w:szCs w:val="22"/>
        </w:rPr>
        <w:t xml:space="preserve">임원이 연임되었을 경우에는 현실적인 퇴직으로 보지 아니하고 연임기간을 합산하여 퇴직 또는 중간정산일 당시의 직급에 기준지급률을 적용한다.</w:t>
      </w:r>
    </w:p>
    <w:p>
      <w:pPr>
        <w:spacing w:after="50" w:before="50" w:line="360"/>
        <w:jc w:val="left"/>
      </w:pPr>
      <w:r>
        <w:rPr>
          <w:rFonts w:ascii="맑은 고딕" w:cs="맑은 고딕" w:eastAsia="맑은 고딕" w:hAnsi="맑은 고딕"/>
          <w:b/>
          <w:bCs/>
          <w:color w:val="000000"/>
          <w:sz w:val="22"/>
          <w:szCs w:val="22"/>
        </w:rPr>
        <w:t xml:space="preserve">④ </w:t>
      </w:r>
      <w:r>
        <w:rPr>
          <w:rFonts w:ascii="맑은 고딕" w:cs="맑은 고딕" w:eastAsia="맑은 고딕" w:hAnsi="맑은 고딕"/>
          <w:b w:val="false"/>
          <w:bCs w:val="false"/>
          <w:color w:val="000000"/>
          <w:sz w:val="22"/>
          <w:szCs w:val="22"/>
        </w:rPr>
        <w:t xml:space="preserve">회사가 사용인에서 임원으로 된 때에 퇴직금을 지급하지 아니하는 경우에는 사용인으로 근무한 기간도 당해 근속연수에 합산한다.</w:t>
      </w:r>
    </w:p>
    <w:p>
      <w:pPr>
        <w:spacing w:after="50" w:before="50" w:line="360"/>
        <w:jc w:val="left"/>
      </w:pPr>
      <w:r>
        <w:rPr>
          <w:rFonts w:ascii="맑은 고딕" w:cs="맑은 고딕" w:eastAsia="맑은 고딕" w:hAnsi="맑은 고딕"/>
          <w:b/>
          <w:bCs/>
          <w:color w:val="000000"/>
          <w:sz w:val="22"/>
          <w:szCs w:val="22"/>
        </w:rPr>
        <w:t xml:space="preserve">⑤ </w:t>
      </w:r>
      <w:r>
        <w:rPr>
          <w:rFonts w:ascii="맑은 고딕" w:cs="맑은 고딕" w:eastAsia="맑은 고딕" w:hAnsi="맑은 고딕"/>
          <w:b w:val="false"/>
          <w:bCs w:val="false"/>
          <w:color w:val="000000"/>
          <w:sz w:val="22"/>
          <w:szCs w:val="22"/>
        </w:rPr>
        <w:t xml:space="preserve">비상근임원으로 재직한 기간은 통산하여 퇴직금을 지급하는 것을 원칙으로 하되 통산 여부는 이사회 결의를 통해 결정한다.</w:t>
      </w:r>
    </w:p>
    <w:p>
      <w:pPr>
        <w:spacing w:after="100" w:before="200" w:line="320"/>
        <w:jc w:val="left"/>
      </w:pPr>
      <w:r>
        <w:rPr>
          <w:rFonts w:ascii="맑은 고딕" w:cs="맑은 고딕" w:eastAsia="맑은 고딕" w:hAnsi="맑은 고딕"/>
          <w:b/>
          <w:bCs/>
          <w:color w:val="333333"/>
          <w:sz w:val="24"/>
          <w:szCs w:val="24"/>
        </w:rPr>
        <w:t xml:space="preserve">제7조 (임원 퇴직금의 중간정산)</w:t>
      </w:r>
    </w:p>
    <w:p>
      <w:pPr>
        <w:spacing w:after="50" w:before="50" w:line="360"/>
        <w:jc w:val="left"/>
      </w:pPr>
      <w:r>
        <w:rPr>
          <w:rFonts w:ascii="맑은 고딕" w:cs="맑은 고딕" w:eastAsia="맑은 고딕" w:hAnsi="맑은 고딕"/>
          <w:b w:val="false"/>
          <w:bCs w:val="false"/>
          <w:color w:val="000000"/>
          <w:sz w:val="22"/>
          <w:szCs w:val="22"/>
        </w:rPr>
        <w:t xml:space="preserve">임원이 법인세법 시행령 제44조의 현실적 퇴직사유에 해당하여 퇴직금의 중간정산을 요청할 경우 회사는 주주총회의 의결을 거쳐 해당 임원의 퇴직금 중간정산 실시를 의결한다.</w:t>
      </w:r>
    </w:p>
    <w:p>
      <w:pPr>
        <w:spacing w:after="100" w:before="200" w:line="320"/>
        <w:jc w:val="left"/>
      </w:pPr>
      <w:r>
        <w:rPr>
          <w:rFonts w:ascii="맑은 고딕" w:cs="맑은 고딕" w:eastAsia="맑은 고딕" w:hAnsi="맑은 고딕"/>
          <w:b/>
          <w:bCs/>
          <w:color w:val="333333"/>
          <w:sz w:val="24"/>
          <w:szCs w:val="24"/>
        </w:rPr>
        <w:t xml:space="preserve">제8조 (퇴직위로금)</w:t>
      </w:r>
    </w:p>
    <w:p>
      <w:pPr>
        <w:spacing w:after="50" w:before="50" w:line="360"/>
        <w:jc w:val="left"/>
      </w:pPr>
      <w:r>
        <w:rPr>
          <w:rFonts w:ascii="맑은 고딕" w:cs="맑은 고딕" w:eastAsia="맑은 고딕" w:hAnsi="맑은 고딕"/>
          <w:b w:val="false"/>
          <w:bCs w:val="false"/>
          <w:color w:val="000000"/>
          <w:sz w:val="22"/>
          <w:szCs w:val="22"/>
        </w:rPr>
        <w:t xml:space="preserve">임원이 실질적 은퇴, 질병, 사망 등으로 인한 퇴직 시에 그 임원의 공로 정도에 따라 주주총회의 의결을 거쳐 퇴직금과 별도로 특별위로금을 지급할 수 있다.</w:t>
      </w:r>
    </w:p>
    <w:p>
      <w:pPr>
        <w:spacing w:after="50" w:before="50" w:line="360"/>
        <w:jc w:val="left"/>
      </w:pPr>
      <w:r>
        <w:rPr>
          <w:rFonts w:ascii="맑은 고딕" w:cs="맑은 고딕" w:eastAsia="맑은 고딕" w:hAnsi="맑은 고딕"/>
          <w:b/>
          <w:bCs/>
          <w:color w:val="000000"/>
          <w:sz w:val="22"/>
          <w:szCs w:val="22"/>
        </w:rPr>
        <w:t xml:space="preserve">① </w:t>
      </w:r>
      <w:r>
        <w:rPr>
          <w:rFonts w:ascii="맑은 고딕" w:cs="맑은 고딕" w:eastAsia="맑은 고딕" w:hAnsi="맑은 고딕"/>
          <w:b w:val="false"/>
          <w:bCs w:val="false"/>
          <w:color w:val="000000"/>
          <w:sz w:val="22"/>
          <w:szCs w:val="22"/>
        </w:rPr>
        <w:t xml:space="preserve">회사의 발전에 특별한 공로가 있는 경우 5년 이하 근속 시 제5조에 따른 퇴직금 산정액의 10%, 5년 초과 근속 시 20% 범위 내</w:t>
      </w:r>
    </w:p>
    <w:p>
      <w:pPr>
        <w:spacing w:after="50" w:before="50" w:line="360"/>
        <w:jc w:val="left"/>
      </w:pPr>
      <w:r>
        <w:rPr>
          <w:rFonts w:ascii="맑은 고딕" w:cs="맑은 고딕" w:eastAsia="맑은 고딕" w:hAnsi="맑은 고딕"/>
          <w:b/>
          <w:bCs/>
          <w:color w:val="000000"/>
          <w:sz w:val="22"/>
          <w:szCs w:val="22"/>
        </w:rPr>
        <w:t xml:space="preserve">② </w:t>
      </w:r>
      <w:r>
        <w:rPr>
          <w:rFonts w:ascii="맑은 고딕" w:cs="맑은 고딕" w:eastAsia="맑은 고딕" w:hAnsi="맑은 고딕"/>
          <w:b w:val="false"/>
          <w:bCs w:val="false"/>
          <w:color w:val="000000"/>
          <w:sz w:val="22"/>
          <w:szCs w:val="22"/>
        </w:rPr>
        <w:t xml:space="preserve">업무상 부상 또는 질병으로 퇴직하거나 순직으로 퇴직한 자에 대하여는 다음 각 호에 해당하는 지급률 범위 내에서 퇴직금을 가산 지급할 수 있으며 임원을 피보험자로 하는 보험의 보험금을 해당 임원의 유족에게 유족보상금으로 지급할 수 있다.</w:t>
      </w:r>
    </w:p>
    <w:p>
      <w:pPr>
        <w:spacing w:after="30" w:before="30" w:line="340"/>
        <w:ind w:left="360"/>
        <w:jc w:val="left"/>
      </w:pPr>
      <w:r>
        <w:rPr>
          <w:rFonts w:ascii="맑은 고딕" w:cs="맑은 고딕" w:eastAsia="맑은 고딕" w:hAnsi="맑은 고딕"/>
          <w:b w:val="false"/>
          <w:bCs w:val="false"/>
          <w:color w:val="000000"/>
          <w:sz w:val="22"/>
          <w:szCs w:val="22"/>
        </w:rPr>
        <w:t xml:space="preserve">1. 업무상 부상 또는 업무상 질병으로 퇴직한 자: 제5조에 따른 퇴직금 산정액의 50% 범위 이내</w:t>
      </w:r>
    </w:p>
    <w:p>
      <w:pPr>
        <w:spacing w:after="30" w:before="30" w:line="340"/>
        <w:ind w:left="360"/>
        <w:jc w:val="left"/>
      </w:pPr>
      <w:r>
        <w:rPr>
          <w:rFonts w:ascii="맑은 고딕" w:cs="맑은 고딕" w:eastAsia="맑은 고딕" w:hAnsi="맑은 고딕"/>
          <w:b w:val="false"/>
          <w:bCs w:val="false"/>
          <w:color w:val="000000"/>
          <w:sz w:val="22"/>
          <w:szCs w:val="22"/>
        </w:rPr>
        <w:t xml:space="preserve">2. 순직으로 퇴직한 자: 제5조에 따른 퇴직금 산정액의 100% 범위 이내</w:t>
      </w:r>
    </w:p>
    <w:p>
      <w:pPr>
        <w:spacing w:after="100" w:before="200" w:line="320"/>
        <w:jc w:val="left"/>
      </w:pPr>
      <w:r>
        <w:rPr>
          <w:rFonts w:ascii="맑은 고딕" w:cs="맑은 고딕" w:eastAsia="맑은 고딕" w:hAnsi="맑은 고딕"/>
          <w:b/>
          <w:bCs/>
          <w:color w:val="333333"/>
          <w:sz w:val="24"/>
          <w:szCs w:val="24"/>
        </w:rPr>
        <w:t xml:space="preserve">제9조 (퇴직금의 지급방법)</w:t>
      </w:r>
    </w:p>
    <w:p>
      <w:pPr>
        <w:spacing w:after="50" w:before="50" w:line="360"/>
        <w:jc w:val="left"/>
      </w:pPr>
      <w:r>
        <w:rPr>
          <w:rFonts w:ascii="맑은 고딕" w:cs="맑은 고딕" w:eastAsia="맑은 고딕" w:hAnsi="맑은 고딕"/>
          <w:b/>
          <w:bCs/>
          <w:color w:val="000000"/>
          <w:sz w:val="22"/>
          <w:szCs w:val="22"/>
        </w:rPr>
        <w:t xml:space="preserve">① </w:t>
      </w:r>
      <w:r>
        <w:rPr>
          <w:rFonts w:ascii="맑은 고딕" w:cs="맑은 고딕" w:eastAsia="맑은 고딕" w:hAnsi="맑은 고딕"/>
          <w:b w:val="false"/>
          <w:bCs w:val="false"/>
          <w:color w:val="000000"/>
          <w:sz w:val="22"/>
          <w:szCs w:val="22"/>
        </w:rPr>
        <w:t xml:space="preserve">퇴직금의 지급은 퇴직금 지급조건을 충족하여 퇴직금에 대한 이사회 결의(이사회가 없는 경우에는 주주총회 보통결의이며, 이하 같다)가 있는 날로부터 14일 이내에 지급하는 것을 원칙으로 한다.</w:t>
      </w:r>
    </w:p>
    <w:p>
      <w:pPr>
        <w:spacing w:after="50" w:before="50" w:line="360"/>
        <w:jc w:val="left"/>
      </w:pPr>
      <w:r>
        <w:rPr>
          <w:rFonts w:ascii="맑은 고딕" w:cs="맑은 고딕" w:eastAsia="맑은 고딕" w:hAnsi="맑은 고딕"/>
          <w:b/>
          <w:bCs/>
          <w:color w:val="000000"/>
          <w:sz w:val="22"/>
          <w:szCs w:val="22"/>
        </w:rPr>
        <w:t xml:space="preserve">② </w:t>
      </w:r>
      <w:r>
        <w:rPr>
          <w:rFonts w:ascii="맑은 고딕" w:cs="맑은 고딕" w:eastAsia="맑은 고딕" w:hAnsi="맑은 고딕"/>
          <w:b w:val="false"/>
          <w:bCs w:val="false"/>
          <w:color w:val="000000"/>
          <w:sz w:val="22"/>
          <w:szCs w:val="22"/>
        </w:rPr>
        <w:t xml:space="preserve">제1항에도 불구하고 당사자(회사와 퇴직금을 받을 임원 또는 제10조에 의한 유족) 간에 합의에 의하여 그 지급시기를 연장할 수 있다.</w:t>
      </w:r>
    </w:p>
    <w:p>
      <w:pPr>
        <w:spacing w:after="50" w:before="50" w:line="360"/>
        <w:jc w:val="left"/>
      </w:pPr>
      <w:r>
        <w:rPr>
          <w:rFonts w:ascii="맑은 고딕" w:cs="맑은 고딕" w:eastAsia="맑은 고딕" w:hAnsi="맑은 고딕"/>
          <w:b/>
          <w:bCs/>
          <w:color w:val="000000"/>
          <w:sz w:val="22"/>
          <w:szCs w:val="22"/>
        </w:rPr>
        <w:t xml:space="preserve">③ </w:t>
      </w:r>
      <w:r>
        <w:rPr>
          <w:rFonts w:ascii="맑은 고딕" w:cs="맑은 고딕" w:eastAsia="맑은 고딕" w:hAnsi="맑은 고딕"/>
          <w:b w:val="false"/>
          <w:bCs w:val="false"/>
          <w:color w:val="000000"/>
          <w:sz w:val="22"/>
          <w:szCs w:val="22"/>
        </w:rPr>
        <w:t xml:space="preserve">퇴직금은 현금으로 지급함을 원칙으로 하며, 퇴직한 자의 요구와 동의가 있는 경우에는 현금 외의 회사의 자산(재고자산, 유가증권, 고정자산, 보험금 등)으로 지급할 수 있다. 이때 퇴직급여로 지급되는 현금 외의 자산의 평가는 상속세 및 증여세법에 의한다.</w:t>
      </w:r>
    </w:p>
    <w:p>
      <w:pPr>
        <w:spacing w:after="100" w:before="200" w:line="320"/>
        <w:jc w:val="left"/>
      </w:pPr>
      <w:r>
        <w:rPr>
          <w:rFonts w:ascii="맑은 고딕" w:cs="맑은 고딕" w:eastAsia="맑은 고딕" w:hAnsi="맑은 고딕"/>
          <w:b/>
          <w:bCs/>
          <w:color w:val="333333"/>
          <w:sz w:val="24"/>
          <w:szCs w:val="24"/>
        </w:rPr>
        <w:t xml:space="preserve">제10조 (지급의 제한)</w:t>
      </w:r>
    </w:p>
    <w:p>
      <w:pPr>
        <w:spacing w:after="50" w:before="50" w:line="360"/>
        <w:jc w:val="left"/>
      </w:pPr>
      <w:r>
        <w:rPr>
          <w:rFonts w:ascii="맑은 고딕" w:cs="맑은 고딕" w:eastAsia="맑은 고딕" w:hAnsi="맑은 고딕"/>
          <w:b w:val="false"/>
          <w:bCs w:val="false"/>
          <w:color w:val="000000"/>
          <w:sz w:val="22"/>
          <w:szCs w:val="22"/>
        </w:rPr>
        <w:t xml:space="preserve">퇴직 임원이 업무와 관련하여 고의 또는 본인의 중대한 과실로 인한 불법행위로 금고 이상의 형을 받거나 회사의 명예나 신용을 훼손하거나 손실을 초래하는 귀책사유로 인하여 파면, 면직요구, 해임권고 또는 징계면직 상당의 결정통보를 받은 자에 대하여는 퇴직금을 감액하여 지급하거나 지급하지 아니할 수 있으며 이는 주주총회의 결의로 결정한다.</w:t>
      </w:r>
    </w:p>
    <w:p>
      <w:pPr>
        <w:spacing w:after="100" w:before="200" w:line="320"/>
        <w:jc w:val="left"/>
      </w:pPr>
      <w:r>
        <w:rPr>
          <w:rFonts w:ascii="맑은 고딕" w:cs="맑은 고딕" w:eastAsia="맑은 고딕" w:hAnsi="맑은 고딕"/>
          <w:b/>
          <w:bCs/>
          <w:color w:val="333333"/>
          <w:sz w:val="24"/>
          <w:szCs w:val="24"/>
        </w:rPr>
        <w:t xml:space="preserve">제11조 (수령인)</w:t>
      </w:r>
    </w:p>
    <w:p>
      <w:pPr>
        <w:spacing w:after="50" w:before="50" w:line="360"/>
        <w:jc w:val="left"/>
      </w:pPr>
      <w:r>
        <w:rPr>
          <w:rFonts w:ascii="맑은 고딕" w:cs="맑은 고딕" w:eastAsia="맑은 고딕" w:hAnsi="맑은 고딕"/>
          <w:b/>
          <w:bCs/>
          <w:color w:val="000000"/>
          <w:sz w:val="22"/>
          <w:szCs w:val="22"/>
        </w:rPr>
        <w:t xml:space="preserve">① </w:t>
      </w:r>
      <w:r>
        <w:rPr>
          <w:rFonts w:ascii="맑은 고딕" w:cs="맑은 고딕" w:eastAsia="맑은 고딕" w:hAnsi="맑은 고딕"/>
          <w:b w:val="false"/>
          <w:bCs w:val="false"/>
          <w:color w:val="000000"/>
          <w:sz w:val="22"/>
          <w:szCs w:val="22"/>
        </w:rPr>
        <w:t xml:space="preserve">퇴직급여는 퇴직한 당사자에게 지급함을 원칙으로 한다.</w:t>
      </w:r>
    </w:p>
    <w:p>
      <w:pPr>
        <w:spacing w:after="50" w:before="50" w:line="360"/>
        <w:jc w:val="left"/>
      </w:pPr>
      <w:r>
        <w:rPr>
          <w:rFonts w:ascii="맑은 고딕" w:cs="맑은 고딕" w:eastAsia="맑은 고딕" w:hAnsi="맑은 고딕"/>
          <w:b/>
          <w:bCs/>
          <w:color w:val="000000"/>
          <w:sz w:val="22"/>
          <w:szCs w:val="22"/>
        </w:rPr>
        <w:t xml:space="preserve">② </w:t>
      </w:r>
      <w:r>
        <w:rPr>
          <w:rFonts w:ascii="맑은 고딕" w:cs="맑은 고딕" w:eastAsia="맑은 고딕" w:hAnsi="맑은 고딕"/>
          <w:b w:val="false"/>
          <w:bCs w:val="false"/>
          <w:color w:val="000000"/>
          <w:sz w:val="22"/>
          <w:szCs w:val="22"/>
        </w:rPr>
        <w:t xml:space="preserve">임원의 사망으로 인해 본인에게 직접 지급할 수 없는 경우에는 특별한 경우를 제외하고는 민법에서 정하는 법정상속순위에 따른다.</w:t>
      </w:r>
    </w:p>
    <w:p>
      <w:pPr>
        <w:spacing w:after="160" w:before="320" w:line="320"/>
        <w:jc w:val="left"/>
      </w:pPr>
      <w:r>
        <w:rPr>
          <w:rFonts w:ascii="맑은 고딕" w:cs="맑은 고딕" w:eastAsia="맑은 고딕" w:hAnsi="맑은 고딕"/>
          <w:b/>
          <w:bCs/>
          <w:color w:val="0072BC"/>
          <w:sz w:val="28"/>
          <w:szCs w:val="28"/>
        </w:rPr>
        <w:t xml:space="preserve">부     칙</w:t>
      </w:r>
    </w:p>
    <w:p>
      <w:pPr>
        <w:spacing w:after="100" w:before="200" w:line="320"/>
        <w:jc w:val="left"/>
      </w:pPr>
      <w:r>
        <w:rPr>
          <w:rFonts w:ascii="맑은 고딕" w:cs="맑은 고딕" w:eastAsia="맑은 고딕" w:hAnsi="맑은 고딕"/>
          <w:b/>
          <w:bCs/>
          <w:color w:val="333333"/>
          <w:sz w:val="24"/>
          <w:szCs w:val="24"/>
        </w:rPr>
        <w:t xml:space="preserve">제1조 (시행일)</w:t>
      </w:r>
    </w:p>
    <w:p>
      <w:pPr>
        <w:spacing w:after="50" w:before="50" w:line="360"/>
        <w:jc w:val="left"/>
      </w:pPr>
      <w:r>
        <w:rPr>
          <w:rFonts w:ascii="맑은 고딕" w:cs="맑은 고딕" w:eastAsia="맑은 고딕" w:hAnsi="맑은 고딕"/>
          <w:b w:val="false"/>
          <w:bCs w:val="false"/>
          <w:color w:val="000000"/>
          <w:sz w:val="22"/>
          <w:szCs w:val="22"/>
        </w:rPr>
        <w:t xml:space="preserve">본 규정은 회사 설립등기일부터 시행한다.</w:t>
      </w:r>
    </w:p>
    <w:p>
      <w:pPr>
        <w:spacing w:after="100" w:before="200" w:line="320"/>
        <w:jc w:val="left"/>
      </w:pPr>
      <w:r>
        <w:rPr>
          <w:rFonts w:ascii="맑은 고딕" w:cs="맑은 고딕" w:eastAsia="맑은 고딕" w:hAnsi="맑은 고딕"/>
          <w:b/>
          <w:bCs/>
          <w:color w:val="333333"/>
          <w:sz w:val="24"/>
          <w:szCs w:val="24"/>
        </w:rPr>
        <w:t xml:space="preserve">제2조 (경과규정)</w:t>
      </w:r>
    </w:p>
    <w:p>
      <w:pPr>
        <w:spacing w:after="50" w:before="50" w:line="360"/>
        <w:jc w:val="left"/>
      </w:pPr>
      <w:r>
        <w:rPr>
          <w:rFonts w:ascii="맑은 고딕" w:cs="맑은 고딕" w:eastAsia="맑은 고딕" w:hAnsi="맑은 고딕"/>
          <w:b w:val="false"/>
          <w:bCs w:val="false"/>
          <w:color w:val="000000"/>
          <w:sz w:val="22"/>
          <w:szCs w:val="22"/>
        </w:rPr>
        <w:t xml:space="preserve">이 규정은 이 규정의 시행 이전의 근속기간에 대해서도 소급 적용한다.</w:t>
      </w:r>
    </w:p>
    <w:p>
      <w:pPr>
        <w:spacing w:after="100" w:before="200" w:line="320"/>
        <w:jc w:val="left"/>
      </w:pPr>
      <w:r>
        <w:rPr>
          <w:rFonts w:ascii="맑은 고딕" w:cs="맑은 고딕" w:eastAsia="맑은 고딕" w:hAnsi="맑은 고딕"/>
          <w:b/>
          <w:bCs/>
          <w:color w:val="333333"/>
          <w:sz w:val="24"/>
          <w:szCs w:val="24"/>
        </w:rPr>
        <w:t xml:space="preserve">제3조 (규정의 개폐)</w:t>
      </w:r>
    </w:p>
    <w:p>
      <w:pPr>
        <w:spacing w:after="50" w:before="50" w:line="360"/>
        <w:jc w:val="left"/>
      </w:pPr>
      <w:r>
        <w:rPr>
          <w:rFonts w:ascii="맑은 고딕" w:cs="맑은 고딕" w:eastAsia="맑은 고딕" w:hAnsi="맑은 고딕"/>
          <w:b w:val="false"/>
          <w:bCs w:val="false"/>
          <w:color w:val="000000"/>
          <w:sz w:val="22"/>
          <w:szCs w:val="22"/>
        </w:rPr>
        <w:t xml:space="preserve">본 규정은 정관의 일부로서 존재하므로 규정의 개폐는 주주총회의 특별결의에 의하여서만 가능하다.</w:t>
      </w:r>
    </w:p>
    <w:sectPr>
      <w:headerReference w:type="default" r:id="rId7"/>
      <w:footerReference w:type="default" r:id="rId8"/>
      <w:pgSz w:w="11906" w:h="16838" w:orient="portrait"/>
      <w:pgMar w:top="170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맑은 고딕" w:cs="맑은 고딕" w:eastAsia="맑은 고딕" w:hAnsi="맑은 고딕"/>
        <w:b w:val="false"/>
        <w:bCs w:val="false"/>
        <w:color w:val="666666"/>
        <w:sz w:val="18"/>
        <w:szCs w:val="18"/>
      </w:rPr>
      <w:t xml:space="preserve">이상덕세무사사무소  |  02-6949-0467  |  lcta52@naver.com  |  서울특별시 성동구 성수일로 111, 2층 208호</w:t>
    </w:r>
  </w:p>
  <w:p>
    <w:pPr>
      <w:jc w:val="center"/>
    </w:pPr>
    <w:r>
      <w:rPr>
        <w:rFonts w:ascii="맑은 고딕" w:cs="맑은 고딕" w:eastAsia="맑은 고딕" w:hAnsi="맑은 고딕"/>
        <w:color w:val="666666"/>
        <w:sz w:val="18"/>
        <w:szCs w:val="18"/>
      </w:rPr>
      <w:t xml:space="preserve">페이지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1" locked="0" layoutInCell="1" relativeHeight="3048000">
          <wp:simplePos x="0" y="0"/>
          <wp:positionH relativeFrom="margin">
            <wp:align>center</wp:align>
          </wp:positionH>
          <wp:positionV relativeFrom="margin">
            <wp:align>center</wp:align>
          </wp:positionV>
          <wp:extent cx="3048000" cy="30480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3048000" cy="3048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47df6a332b1a622d47751d26f9c8c73a75476a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임원퇴직금지급규정</dc:title>
  <dc:creator>이상덕세무사사무소</dc:creator>
  <cp:lastModifiedBy>Un-named</cp:lastModifiedBy>
  <cp:revision>1</cp:revision>
  <dcterms:created xsi:type="dcterms:W3CDTF">2026-05-12T23:53:02.452Z</dcterms:created>
  <dcterms:modified xsi:type="dcterms:W3CDTF">2026-05-12T23:53:02.452Z</dcterms:modified>
</cp:coreProperties>
</file>

<file path=docProps/custom.xml><?xml version="1.0" encoding="utf-8"?>
<Properties xmlns="http://schemas.openxmlformats.org/officeDocument/2006/custom-properties" xmlns:vt="http://schemas.openxmlformats.org/officeDocument/2006/docPropsVTypes"/>
</file>