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800" w:line="380"/>
        <w:jc w:val="center"/>
      </w:pPr>
      <w:r>
        <w:rPr>
          <w:rFonts w:ascii="맑은 고딕" w:cs="맑은 고딕" w:eastAsia="맑은 고딕" w:hAnsi="맑은 고딕"/>
          <w:b/>
          <w:bCs/>
          <w:color w:val="0072BC"/>
          <w:sz w:val="36"/>
          <w:szCs w:val="36"/>
        </w:rPr>
        <w:t xml:space="preserve">임원보수지급규정</w:t>
      </w:r>
    </w:p>
    <w:p>
      <w:pPr>
        <w:spacing w:after="600" w:before="0" w:line="320"/>
        <w:jc w:val="center"/>
      </w:pPr>
      <w:r>
        <w:rPr>
          <w:rFonts w:ascii="맑은 고딕" w:cs="맑은 고딕" w:eastAsia="맑은 고딕" w:hAnsi="맑은 고딕"/>
          <w:b w:val="false"/>
          <w:bCs w:val="false"/>
          <w:color w:val="333333"/>
          <w:sz w:val="28"/>
          <w:szCs w:val="28"/>
        </w:rPr>
        <w:t xml:space="preserve">주식회사  ____________________</w:t>
      </w:r>
    </w:p>
    <w:p>
      <w:pPr>
        <w:pBdr>
          <w:bottom w:val="single" w:color="AAAAAA" w:sz="6" w:space="1"/>
        </w:pBdr>
        <w:spacing w:after="80" w:before="80"/>
      </w:pP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제 1 장   총     칙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제1조 (목적)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규정은 회사 정관 제25조 및 부칙 제3조에 의거하여 등기임원의 보수 지급에 관한 사항을 정함을 목적으로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제2조 (적용범위)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규정은 회사의 등기임원(대표이사, 이사 및 감사)에게 적용한다.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비등기임원에 대하여는 이사회 결의로 별도 정할 수 있다.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제3조 (보수의 구성)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임원의 보수는 다음 각 호로 구성한다.</w:t>
      </w:r>
    </w:p>
    <w:p>
      <w:pPr>
        <w:spacing w:after="30" w:before="30" w:line="340"/>
        <w:ind w:left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1. 기본급여: 직위에 따라 매월 정기적으로 지급하는 급여</w:t>
      </w:r>
    </w:p>
    <w:p>
      <w:pPr>
        <w:spacing w:after="30" w:before="30" w:line="340"/>
        <w:ind w:left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2. 상여금: 별도의 「임원상여금지급규정」에서 정하는 바에 따라 지급하는 금원</w:t>
      </w:r>
    </w:p>
    <w:p>
      <w:pPr>
        <w:spacing w:after="30" w:before="30" w:line="340"/>
        <w:ind w:left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3. 퇴직금: 별도의 「임원퇴직금지급규정」에서 정하는 바에 따라 퇴직 시 지급하는 금원</w:t>
      </w:r>
    </w:p>
    <w:p>
      <w:pPr>
        <w:spacing w:after="30" w:before="30" w:line="340"/>
        <w:ind w:left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4. 기타 수당: 이사회 결의로 정하는 직무수당, 차량유지비, 통신비 등 제수당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제4조 (급여제도)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임원의 기본급여는 월급제로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기본급여의 세부 기준은 제14조의 보수한도표에 따른다.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개인별 보수는 주주총회에서 정한 보수총액 한도 내에서 이사회의 결의로 정한다(이사회가 설치되지 아니한 경우 주주총회의 결의로 정한다).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제5조 (지급일 및 지급방법)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기본급여는 매월 25일에 지급한다. 다만, 지급일이 공휴일 또는 토요일인 경우에는 그 전일에 지급한다.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보수의 지급은 임원 본인 명의의 금융기관 예금계좌에 입금하는 방법으로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보수 지급 시 소득세, 지방소득세 기타 법령에서 정한 공과금은 원천징수한다.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제 2 장   계     산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제6조 (계산기간)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보수의 계산기간은 매월 1일부터 말일까지로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제7조 (신규 임용자의 급여)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신규 임용자의 급여는 임용일로부터 일할 계산하여 지급한다. 이 경우 일할 계산은 해당 월의 역일수를 기준으로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제8조 (휴직자의 급여)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임원이 질병 기타의 사유로 휴직하는 경우에는 이사회(이사회가 설치되지 아니한 경우 주주총회)의 결의에 의하여 기본급여의 전부 또는 일부를 지급하지 아니할 수 있다.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휴직기간 중의 급여 지급에 관한 구체적 사항은 이사회의 결의로 정한다.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제9조 (정직자의 급여)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징계에 의하여 정직된 임원에 대하여는 정직기간 중 기본급여의 3분의 2를 감한다.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제10조 (복직자의 급여)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복직자의 급여는 복직일로부터 일할 계산하여 지급한다.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제11조 (퇴직자의 급여)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퇴직자의 급여는 퇴직일까지 일할 계산하여 지급한다.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제12조 (승진자의 급여)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직위가 변경(승진 또는 강임)된 임원의 급여는 그 변경일이 속하는 월의 익월 1일부터 변경된 직위의 급여를 적용한다.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제13조 (겸직 시 보수)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임원이 회사의 다른 직무를 겸직하는 경우에는 원직의 보수만 지급한다.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임원이 관계회사 등 타법인의 임원을 겸직하는 경우의 보수 지급에 관하여는 이사회의 결의로 정한다.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제 3 장   보 수 한 도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제14조 (보수한도표)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임원의 직위별 보수한도는 다음과 같다. (※ 회사별 사업규모·매출액에 맞춰 ____원 자리를 수정하여 사용)</w:t>
      </w:r>
    </w:p>
    <w:tbl>
      <w:tblPr>
        <w:tblW w:type="dxa" w:w="9022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1800"/>
        <w:gridCol w:w="2400"/>
        <w:gridCol w:w="2400"/>
        <w:gridCol w:w="2422"/>
      </w:tblGrid>
      <w:tr>
        <w:trPr>
          <w:tblHeader/>
        </w:trPr>
        <w:tc>
          <w:tcPr>
            <w:tcW w:type="dxa" w:w="18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직위</w:t>
            </w:r>
          </w:p>
        </w:tc>
        <w:tc>
          <w:tcPr>
            <w:tcW w:type="dxa" w:w="24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기본급여 (월)</w:t>
            </w:r>
          </w:p>
        </w:tc>
        <w:tc>
          <w:tcPr>
            <w:tcW w:type="dxa" w:w="24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상여금 (연)</w:t>
            </w:r>
          </w:p>
        </w:tc>
        <w:tc>
          <w:tcPr>
            <w:tcW w:type="dxa" w:w="2422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연간 총보수한도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대표이사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____원 이내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____원 이내</w:t>
            </w:r>
          </w:p>
        </w:tc>
        <w:tc>
          <w:tcPr>
            <w:tcW w:type="dxa" w:w="2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____원 이내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이사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____원 이내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____원 이내</w:t>
            </w:r>
          </w:p>
        </w:tc>
        <w:tc>
          <w:tcPr>
            <w:tcW w:type="dxa" w:w="2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____원 이내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감사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____원 이내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____원 이내</w:t>
            </w:r>
          </w:p>
        </w:tc>
        <w:tc>
          <w:tcPr>
            <w:tcW w:type="dxa" w:w="2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____원 이내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제1항의 보수한도는 주주총회에서 승인한 임원보수총액 한도 범위 내에서 적용한다.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개인별 보수의 구체적 금액은 이사회의 결의로 정한다.</w:t>
      </w:r>
    </w:p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026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72BC" w:sz="12"/>
              <w:left w:val="single" w:color="0072BC" w:sz="6"/>
              <w:bottom w:val="single" w:color="0072BC" w:sz="6"/>
              <w:right w:val="single" w:color="0072BC" w:sz="6"/>
            </w:tcBorders>
            <w:shd w:fill="F0F6FC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 w:before="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4"/>
                <w:szCs w:val="24"/>
              </w:rPr>
              <w:t xml:space="preserve">📌  </w:t>
            </w: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4"/>
                <w:szCs w:val="24"/>
              </w:rPr>
              <w:t xml:space="preserve">[참고] 보수한도 결정 시 실제 사례</w:t>
            </w:r>
          </w:p>
          <w:p>
            <w:pPr>
              <w:spacing w:after="100" w:before="0" w:line="30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다음은 </w:t>
            </w:r>
            <w:r>
              <w:rPr>
                <w:rFonts w:ascii="맑은 고딕" w:cs="맑은 고딕" w:eastAsia="맑은 고딕" w:hAnsi="맑은 고딕"/>
                <w:b/>
                <w:bCs/>
                <w:color w:val="333333"/>
                <w:sz w:val="20"/>
                <w:szCs w:val="20"/>
              </w:rPr>
              <w:t xml:space="preserve">실제 운영 중인 법인의 임원보수규정 한도표 예시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입니다. 본 한도는 </w:t>
            </w: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0"/>
                <w:szCs w:val="20"/>
              </w:rPr>
              <w:t xml:space="preserve">실제 지급액이 아니라 "한도"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이며, 실제 지급은 한도 범위 내에서 이사회 결의로 정합니다.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022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1800"/>
        <w:gridCol w:w="2400"/>
        <w:gridCol w:w="2400"/>
        <w:gridCol w:w="2422"/>
      </w:tblGrid>
      <w:tr>
        <w:trPr>
          <w:tblHeader/>
        </w:trPr>
        <w:tc>
          <w:tcPr>
            <w:tcW w:type="dxa" w:w="18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직위</w:t>
            </w:r>
          </w:p>
        </w:tc>
        <w:tc>
          <w:tcPr>
            <w:tcW w:type="dxa" w:w="24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기본급여 (월)</w:t>
            </w:r>
          </w:p>
        </w:tc>
        <w:tc>
          <w:tcPr>
            <w:tcW w:type="dxa" w:w="24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상여금 (연)</w:t>
            </w:r>
          </w:p>
        </w:tc>
        <w:tc>
          <w:tcPr>
            <w:tcW w:type="dxa" w:w="2422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연간 총보수한도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대표이사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삼천만 (30,000,000)원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일억 (100,000,000)원</w:t>
            </w:r>
          </w:p>
        </w:tc>
        <w:tc>
          <w:tcPr>
            <w:tcW w:type="dxa" w:w="2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2"/>
                <w:szCs w:val="22"/>
              </w:rPr>
              <w:t xml:space="preserve">금 사억육천만 (460,000,000)원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이사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삼천만 (30,000,000)원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일억 (100,000,000)원</w:t>
            </w:r>
          </w:p>
        </w:tc>
        <w:tc>
          <w:tcPr>
            <w:tcW w:type="dxa" w:w="2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2"/>
                <w:szCs w:val="22"/>
              </w:rPr>
              <w:t xml:space="preserve">금 사억육천만 (460,000,000)원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감사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일천만 (10,000,000)원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금 팔천만 (80,000,000)원</w:t>
            </w:r>
          </w:p>
        </w:tc>
        <w:tc>
          <w:tcPr>
            <w:tcW w:type="dxa" w:w="24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2"/>
                <w:szCs w:val="22"/>
              </w:rPr>
              <w:t xml:space="preserve">금 이억 (200,000,000)원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026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62828" w:sz="12"/>
              <w:left w:val="single" w:color="C62828" w:sz="6"/>
              <w:bottom w:val="single" w:color="C62828" w:sz="6"/>
              <w:right w:val="single" w:color="C62828" w:sz="6"/>
            </w:tcBorders>
            <w:shd w:fill="FFF8E1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⚠️  </w:t>
            </w: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한도 결정 시 반드시 고려할 3가지</w:t>
            </w:r>
          </w:p>
          <w:p>
            <w:pPr>
              <w:spacing w:after="30" w:before="3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0"/>
                <w:szCs w:val="20"/>
              </w:rPr>
              <w:t xml:space="preserve">① </w:t>
            </w: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손금 인정 근거 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(법인세법 §26 / 시행령 §43): 임원에게 지급하는 인건비는 </w:t>
            </w:r>
            <w:r>
              <w:rPr>
                <w:rFonts w:ascii="맑은 고딕" w:cs="맑은 고딕" w:eastAsia="맑은 고딕" w:hAnsi="맑은 고딕"/>
                <w:b/>
                <w:bCs/>
                <w:color w:val="333333"/>
                <w:sz w:val="20"/>
                <w:szCs w:val="20"/>
              </w:rPr>
              <w:t xml:space="preserve">정관·주주총회·이사회 결의에 의한 급여지급기준 한도 내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에서만 손금 인정. 기준이 없거나 초과 지급 시 그 초과분은 </w:t>
            </w: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0"/>
                <w:szCs w:val="20"/>
              </w:rPr>
              <w:t xml:space="preserve">손금 불산입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. 임원이 특수관계인인 경우 시장가 대비 현저한 차이는 §52 부당행위계산부인도 추가 적용 가능.</w:t>
            </w:r>
          </w:p>
          <w:p>
            <w:pPr>
              <w:spacing w:after="30" w:before="3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0"/>
                <w:szCs w:val="20"/>
              </w:rPr>
              <w:t xml:space="preserve">② </w:t>
            </w: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정관·규정 명시 한도 내 지급 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→ 손금산입 안정성 ↑. 정관·규정에 한도가 없으면 임원 인건비 손금 부인 가능성 ↑.</w:t>
            </w:r>
          </w:p>
          <w:p>
            <w:pPr>
              <w:spacing w:after="0" w:before="3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0"/>
                <w:szCs w:val="20"/>
              </w:rPr>
              <w:t xml:space="preserve">③ </w:t>
            </w: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0"/>
                <w:szCs w:val="20"/>
              </w:rPr>
              <w:t xml:space="preserve">실무적 합리성 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i/>
                <w:iCs/>
                <w:color w:val="333333"/>
                <w:sz w:val="20"/>
                <w:szCs w:val="20"/>
              </w:rPr>
              <w:t xml:space="preserve">(법령 직접 기준 X, 실무·판례 참고사항): 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동종 업종·동일 직무·근속 대비 합리적 수준 권장. 임원보수+상여금이 </w:t>
            </w:r>
            <w:r>
              <w:rPr>
                <w:rFonts w:ascii="맑은 고딕" w:cs="맑은 고딕" w:eastAsia="맑은 고딕" w:hAnsi="맑은 고딕"/>
                <w:b/>
                <w:bCs/>
                <w:color w:val="333333"/>
                <w:sz w:val="20"/>
                <w:szCs w:val="20"/>
              </w:rPr>
              <w:t xml:space="preserve">당기순이익을 초과하거나 매출 대비 과도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하면 ①·②와 함께 세무조사 시 종합 검토 대상. 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※ 매출 대비 구체 비율 기준은 법령에 없음. 한도는 "현재 지급 수준의 5~10배" 정도가 실무 권장.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제15조 (보수한도의 변경)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제14조의 보수한도표의 변경은 이사회의 결의에 의한다.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다만, 주주총회에서 승인한 임원보수총액 한도를 초과하는 변경은 주주총회의 승인을 얻어야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임원의 보수가 법인세법 제26조(과다경비 등의 손금불산입) 및 법인세법 시행령 제43조(상여금 등의 손금불산입)의 적용을 받아 손금불산입될 수 있는 점을 고려하여 적정한 수준에서 정하여야 한다(임원이 특수관계인인 경우 시장가격 대비 현저한 차이는 법인세법 제52조 부당행위계산부인도 추가 적용 가능).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부     칙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제1조 (시행일)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규정은 회사 설립등기일부터 시행한다.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제2조 (적용례)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규정 시행 이전에 선임된 임원에 대하여도 본 규정을 적용한다.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제3조 (규정의 개폐)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규정은 정관의 일부로서 존재하므로 규정의 개폐는 주주총회의 특별결의에 의하여서만 가능하다.</w:t>
      </w:r>
    </w:p>
    <w:sectPr>
      <w:headerReference w:type="default" r:id="rId7"/>
      <w:footerReference w:type="default" r:id="rId8"/>
      <w:pgSz w:w="11906" w:h="16838" w:orient="portrait"/>
      <w:pgMar w:top="17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맑은 고딕" w:cs="맑은 고딕" w:eastAsia="맑은 고딕" w:hAnsi="맑은 고딕"/>
        <w:b w:val="false"/>
        <w:bCs w:val="false"/>
        <w:color w:val="666666"/>
        <w:sz w:val="18"/>
        <w:szCs w:val="18"/>
      </w:rPr>
      <w:t xml:space="preserve">이상덕세무사사무소  |  02-6949-0467  |  lcta52@naver.com  |  서울특별시 성동구 성수일로 111, 2층 208호</w:t>
    </w:r>
  </w:p>
  <w:p>
    <w:pPr>
      <w:jc w:val="center"/>
    </w:pPr>
    <w:r>
      <w:rPr>
        <w:rFonts w:ascii="맑은 고딕" w:cs="맑은 고딕" w:eastAsia="맑은 고딕" w:hAnsi="맑은 고딕"/>
        <w:color w:val="666666"/>
        <w:sz w:val="18"/>
        <w:szCs w:val="18"/>
      </w:rPr>
      <w:t xml:space="preserve">페이지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1" locked="0" layoutInCell="1" relativeHeight="30480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048000" cy="3048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30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47df6a332b1a622d47751d26f9c8c73a75476a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임원보수지급규정</dc:title>
  <dc:creator>이상덕세무사사무소</dc:creator>
  <cp:lastModifiedBy>Un-named</cp:lastModifiedBy>
  <cp:revision>1</cp:revision>
  <dcterms:created xsi:type="dcterms:W3CDTF">2026-05-12T23:53:02.445Z</dcterms:created>
  <dcterms:modified xsi:type="dcterms:W3CDTF">2026-05-12T23:53:02.445Z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